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资产负债表上某些项目不能根据有关总账账户的期末余额直接填列或计算填列，也不可能根据有关账户所属相关明细账户的期末余额计算填列</w:t>
      </w:r>
      <w:r>
        <w:rPr>
          <w:b/>
          <w:bCs/>
          <w:rtl w:val="0"/>
        </w:rPr>
        <w:fldChar w:fldCharType="begin"/>
      </w:r>
      <w:r>
        <w:rPr>
          <w:b/>
          <w:bCs/>
          <w:rtl w:val="0"/>
        </w:rPr>
        <w:instrText xml:space="preserve"> HYPERLINK "http://cjtvu.cn/a/jiaoyuguanli/2013/0408/552.html" </w:instrText>
      </w:r>
      <w:r>
        <w:rPr>
          <w:b/>
          <w:bCs/>
          <w:rtl w:val="0"/>
        </w:rPr>
        <w:fldChar w:fldCharType="separate"/>
      </w:r>
      <w:r>
        <w:rPr>
          <w:b/>
          <w:bCs/>
          <w:color w:val="0000FF"/>
          <w:u w:val="single"/>
          <w:rtl w:val="0"/>
        </w:rPr>
        <w:t>厦门大学和昌吉学院建立对口支援</w:t>
      </w:r>
      <w:r>
        <w:rPr>
          <w:b/>
          <w:bCs/>
          <w:rtl w:val="0"/>
        </w:rPr>
        <w:fldChar w:fldCharType="end"/>
      </w:r>
      <w:r>
        <w:rPr>
          <w:rtl w:val="0"/>
        </w:rPr>
        <w:t>，，需要根据总账账户和明细账户余额分析计算填列，如长期借款项目，要根据长期借款总账账户余额扣除长期借款账户所属的明细账户中反映的将在一年内到期的长期借款部分计算填列。</w:t>
      </w:r>
    </w:p>
    <w:p>
      <w:pPr>
        <w:bidi w:val="0"/>
        <w:spacing w:after="280" w:afterAutospacing="1"/>
      </w:pPr>
      <w:r>
        <w:rPr>
          <w:rtl w:val="0"/>
        </w:rPr>
        <w:t>【例】ABC有限责任公司20 9年1月31日，各账户的期末余额如下表所示：</w:t>
      </w:r>
    </w:p>
    <w:p>
      <w:pPr>
        <w:bidi w:val="0"/>
        <w:spacing w:after="280" w:afterAutospacing="1"/>
      </w:pPr>
      <w:r>
        <w:rPr>
          <w:rtl w:val="0"/>
        </w:rPr>
        <w:t>（4）根据总账账户和明细账户余额分析计算填列</w:t>
      </w:r>
    </w:p>
    <w:p>
      <w:pPr>
        <w:bidi w:val="0"/>
        <w:spacing w:after="280" w:afterAutospacing="1"/>
      </w:pPr>
      <w:r>
        <w:rPr>
          <w:rtl w:val="0"/>
        </w:rPr>
        <w:t>预付账款项目应根据预付账款和应付账款总分类账户所属各明细分类账户的期末借方余额合计填列，即如果应付账款账户所属的明细账户有借方余额也在本项目内合并反映。</w:t>
      </w:r>
    </w:p>
    <w:p>
      <w:pPr>
        <w:bidi w:val="0"/>
        <w:spacing w:after="280" w:afterAutospacing="1"/>
      </w:pPr>
      <w:r>
        <w:t>户余额分析、计算后填列</w:t>
      </w:r>
    </w:p>
    <w:p>
      <w:pPr>
        <w:bidi w:val="0"/>
        <w:spacing w:after="280" w:afterAutospacing="1"/>
      </w:pPr>
      <w:r>
        <w:rPr>
          <w:rtl w:val="0"/>
        </w:rPr>
        <w:t>（这两个账户反映的都是购货环节的货款结算情况，所以放在一起计算。）</w:t>
      </w:r>
    </w:p>
    <w:p>
      <w:pPr>
        <w:bidi w:val="0"/>
        <w:spacing w:after="280" w:afterAutospacing="1"/>
        <w:rPr>
          <w:rtl w:val="0"/>
        </w:rPr>
      </w:pPr>
      <w:r>
        <w:rPr>
          <w:rtl w:val="0"/>
        </w:rPr>
        <w:t>（五）资产负债表编制举例（见教材P.222例7-1）</w:t>
      </w:r>
    </w:p>
    <w:p>
      <w:pPr>
        <w:bidi w:val="0"/>
        <w:spacing w:after="280" w:afterAutospacing="1"/>
        <w:rPr>
          <w:rtl w:val="0"/>
        </w:rPr>
      </w:pPr>
      <w:r>
        <w:rPr>
          <w:rtl w:val="0"/>
        </w:rPr>
        <w:t>应收账款项目应根据应收账款总分类账户所属的各明细账户的期末借方余额和预收账款总分类账户所属各明细分类账户的期末借方余额合计数减去坏账准备科目中有关应收账款和预收账款计提坏账准备期末余额后的金额填列。即如果应收账款总分类账户所属的明细账户出现贷方余额应在预收款项项目中反映；如预收账款总分类账户所属的明细账户出现借方余额时，应合并填列在本项目内。</w:t>
      </w:r>
    </w:p>
    <w:p>
      <w:pPr>
        <w:bidi w:val="0"/>
        <w:spacing w:after="280" w:afterAutospacing="1"/>
        <w:rPr>
          <w:rtl w:val="0"/>
        </w:rPr>
      </w:pPr>
      <w:r>
        <w:rPr>
          <w:rtl w:val="0"/>
        </w:rPr>
        <w:t>资产负债表某些项目不能根据总分类账户的期末余额，或若*个总分类账户的期末余额计算填列，需要根据有关账户所属的相关明细账户的期末余额计算填列，如应收账款、预付款项、应付账款及预收款项等项目。</w:t>
      </w:r>
    </w:p>
    <w:p>
      <w:pPr>
        <w:bidi w:val="0"/>
        <w:spacing w:after="280" w:afterAutospacing="1"/>
        <w:rPr>
          <w:rtl w:val="0"/>
        </w:rPr>
      </w:pPr>
      <w:r>
        <w:rPr>
          <w:rtl w:val="0"/>
        </w:rPr>
        <w:t>预收账款项目应根据预收账款和应收账款总分类账户所属各明细分类映户的期末贷方余额合计填列。如预收账款明细账户有借方余额的应在应收账款项目内反映。</w:t>
      </w:r>
    </w:p>
    <w:p>
      <w:pPr>
        <w:bidi w:val="0"/>
        <w:spacing w:after="280" w:afterAutospacing="1"/>
        <w:rPr>
          <w:rtl w:val="0"/>
        </w:rPr>
      </w:pPr>
      <w:r>
        <w:rPr>
          <w:rtl w:val="0"/>
        </w:rPr>
        <w:t>应付账款项目应根据应付账款和预付账款总分类账户所属各明细分类账户的期末贷方余额合计填列。如应付账款明细账户有借方余额应在预付款项项目内反映。</w:t>
      </w:r>
    </w:p>
    <w:p>
      <w:pPr>
        <w:bidi w:val="0"/>
        <w:spacing w:after="280" w:afterAutospacing="1"/>
        <w:rPr>
          <w:rtl w:val="0"/>
        </w:rPr>
      </w:pPr>
      <w:r>
        <w:rPr>
          <w:rtl w:val="0"/>
        </w:rPr>
        <w:t>科目余额表</w:t>
      </w:r>
    </w:p>
    <w:p>
      <w:pPr>
        <w:bidi w:val="0"/>
        <w:spacing w:after="280" w:afterAutospacing="1"/>
      </w:pPr>
      <w:r>
        <w:rPr>
          <w:rtl w:val="0"/>
        </w:rPr>
        <w:t>说明：针对期末数据，以上账户余额中有三笔存在如下情况：</w:t>
      </w:r>
    </w:p>
    <w:p>
      <w:pPr>
        <w:bidi w:val="0"/>
        <w:spacing w:after="280" w:afterAutospacing="1"/>
      </w:pPr>
      <w:r>
        <w:rPr>
          <w:rtl w:val="0"/>
        </w:rPr>
        <w:t>（这两个账户反映的都是**货款的结算情况，所以放在一起合并计算。）</w:t>
      </w:r>
    </w:p>
    <w:p>
      <w:pPr>
        <w:bidi w:val="0"/>
        <w:spacing w:after="280" w:afterAutospacing="1"/>
      </w:pPr>
      <w:r>
        <w:rPr>
          <w:rtl w:val="0"/>
        </w:rPr>
        <w:t>（1）应收账款总账账户借方余额元由两部分构成：所有借方有余额的明细账户合计元；所有贷 近日，记者从山东工业职业学院获悉，该院图书馆现有纸质藏书60余万，该院对周边企业开放图书借阅业务，极大地解决了企业员工看书难的问题。</w:t>
      </w:r>
      <w:r>
        <w:rPr>
          <w:rtl w:val="0"/>
        </w:rPr>
        <w:br/>
      </w:r>
      <w:r>
        <w:rPr>
          <w:rtl w:val="0"/>
        </w:rPr>
        <w:t>山东工业职业学院努力履行校企合作中的信息服务职能，坚持以企业需要为中心，积极探索校企合作新途径。学院图书馆通过走访发现周边企业的员工信息来源单一，缺乏正规的信息获取渠道</w:t>
      </w:r>
      <w:r>
        <w:rPr>
          <w:rtl w:val="0"/>
        </w:rPr>
        <w:fldChar w:fldCharType="begin"/>
      </w:r>
      <w:r>
        <w:rPr>
          <w:rtl w:val="0"/>
        </w:rPr>
        <w:instrText xml:space="preserve"> HYPERLINK "http://cjtvu.cn" </w:instrText>
      </w:r>
      <w:r>
        <w:rPr>
          <w:rtl w:val="0"/>
        </w:rPr>
        <w:fldChar w:fldCharType="separate"/>
      </w:r>
      <w:r>
        <w:rPr>
          <w:color w:val="0000FF"/>
          <w:u w:val="single"/>
          <w:rtl w:val="0"/>
        </w:rPr>
        <w:t>昌吉电大在线</w:t>
      </w:r>
      <w:r>
        <w:rPr>
          <w:rtl w:val="0"/>
        </w:rPr>
        <w:fldChar w:fldCharType="end"/>
      </w:r>
      <w:r>
        <w:rPr>
          <w:rtl w:val="0"/>
        </w:rPr>
        <w:t>。在与企业沟通和多方论证之后，在保障学院正常教学秩序和稳定的基础上，学院决定对周边企业员工开放图书借阅业务，解决企业员工看书难的问题。</w:t>
      </w:r>
      <w:r>
        <w:rPr>
          <w:rtl w:val="0"/>
        </w:rPr>
        <w:br/>
      </w:r>
      <w:r>
        <w:rPr>
          <w:rtl w:val="0"/>
        </w:rPr>
        <w:t>该院图书馆现有纸质藏书60余万册，电子图书20余万册，其中对企业员工的开放业务已全部实现了自动化、网络化管理，形成了传统文献资源、电子文献资源和网络信息资源构成的多层次、全方位的信息资源服务体系，为企业员工提供文献借阅、网上咨询、定题服务等文献资源保障。此举既保障了学院图书的充分利用，又丰富了企业员工的业余文化生活，有利于提高企业员工自身业务能力，加速企业自我改造，提升企业竞争力。</w:t>
      </w:r>
      <w:r>
        <w:rPr>
          <w:rtl w:val="0"/>
        </w:rPr>
        <w:br/>
      </w:r>
      <w:r>
        <w:rPr>
          <w:rtl w:val="0"/>
        </w:rPr>
        <w:t>据了解，近期该院将进一步挖掘校企合作深度，为企业提供行业动态、经济形势分析、产品市场调研等服务，着力打造企业信息技术服务平*，成为企业发展智库。（川北在线 陈宇）</w:t>
      </w:r>
      <w:r>
        <w:rPr>
          <w:rtl w:val="0"/>
        </w:rPr>
        <w:br/>
      </w:r>
      <w:r>
        <w:rPr>
          <w:rtl w:val="0"/>
        </w:rPr>
        <w:t xml:space="preserve">浏览更多川北地区最新资讯：详情访问川北在线主页： </w:t>
      </w:r>
      <w:r>
        <w:rPr>
          <w:rtl w:val="0"/>
        </w:rPr>
        <w:br/>
      </w:r>
      <w:r>
        <w:rPr>
          <w:rtl w:val="0"/>
        </w:rPr>
        <w:t xml:space="preserve">投稿邮箱：chuanbeiol@ ，期待您的来稿。 </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